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3F26AA" w:rsidRPr="00B65A51" w:rsidTr="00F8133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213FCB" w:rsidRDefault="003F26AA" w:rsidP="00F81333">
            <w:pPr>
              <w:spacing w:after="0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F26AA" w:rsidRDefault="003F26A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F26AA" w:rsidRDefault="003F26AA" w:rsidP="00F81333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18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1" w:name="z1574"/>
      <w:r w:rsidRPr="00B977F4">
        <w:rPr>
          <w:b/>
          <w:color w:val="000000"/>
          <w:lang w:val="ru-RU"/>
        </w:rPr>
        <w:t xml:space="preserve"> Правила оказания государственной услуги "Включение в реестр уполномоченных экономических операторов"</w:t>
      </w:r>
    </w:p>
    <w:p w:rsidR="003F26AA" w:rsidRPr="00B977F4" w:rsidRDefault="003F26AA" w:rsidP="003F26AA">
      <w:pPr>
        <w:spacing w:after="0"/>
        <w:rPr>
          <w:lang w:val="ru-RU"/>
        </w:rPr>
      </w:pPr>
      <w:bookmarkStart w:id="2" w:name="z1575"/>
      <w:bookmarkEnd w:id="1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3" w:name="z1576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"Включение в реестр уполномоченных экономических операторов"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"Включение в реестр уполномоченных экономических операторов" (далее – государственная услуга) Комитетом государственных доходов Министерства финансов Республики Казахстан (далее – услугодатель).</w:t>
      </w:r>
      <w:proofErr w:type="gramEnd"/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" w:name="z1577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лицам (далее – услугополучатель).</w:t>
      </w:r>
    </w:p>
    <w:p w:rsidR="003F26AA" w:rsidRPr="00B977F4" w:rsidRDefault="003F26AA" w:rsidP="003F26AA">
      <w:pPr>
        <w:spacing w:after="0"/>
        <w:rPr>
          <w:lang w:val="ru-RU"/>
        </w:rPr>
      </w:pPr>
      <w:bookmarkStart w:id="5" w:name="z1578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6" w:name="z1579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7" w:name="z1580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8" w:name="z1581"/>
      <w:bookmarkEnd w:id="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 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9" w:name="z1582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0" w:name="z1583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явочном порядке – документы, представленные услугополучателем, принимаются структурным подразделением услугодателя ответственным за прием документов и передаются ответственному структурному подразделению услугодателя за обработку документов;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1" w:name="z1584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услугополучателя принимается через портал.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2" w:name="z1585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533 Кодекса Республики Казахстан "О </w:t>
      </w:r>
      <w:r w:rsidRPr="00B977F4">
        <w:rPr>
          <w:color w:val="000000"/>
          <w:sz w:val="28"/>
          <w:lang w:val="ru-RU"/>
        </w:rPr>
        <w:lastRenderedPageBreak/>
        <w:t>таможенном регулировании в Республике Казахстан" от 26 декабря 2017 года (далее – Таможенный кодекс).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3" w:name="z1586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услугополучателя предъявляется документ, удостоверяющий личность.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4" w:name="z1587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услугополучатель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5" w:name="z1588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личность, содержащихся в государственных информационных системах, работник услугодателя получает из соответствующих государственных информационных систем.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6" w:name="z1589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7" w:name="z1590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услугополучателем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8" w:name="z1591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услугополучателю направляется статус о принятии запроса для оказания государственной услуги.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19" w:name="z1592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0" w:name="z1593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Услугодатель в течение 5 (пяти) рабочих дней со дня регистрации заявления принимает решение о рассмотрении заявления либо об отказе в его рассмотрении.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1" w:name="z1594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услугодатель не позднее 90 (девяноста) календарных дней со дня регистрации заявления и указанных документов принимает решение о выдаче свидетельства либо отказе в выдаче такого свидетельства с указанием причин отказа.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2" w:name="z1595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 выдаче свидетельства оформляется приказом руководителя услугодателя, уполномоченным им заместителя руководителя услугодателя либо замещающих их лиц.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3" w:name="z1596"/>
      <w:bookmarkEnd w:id="2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</w:t>
      </w:r>
      <w:r w:rsidRPr="00B977F4">
        <w:rPr>
          <w:color w:val="000000"/>
          <w:sz w:val="28"/>
          <w:lang w:val="ru-RU"/>
        </w:rPr>
        <w:lastRenderedPageBreak/>
        <w:t>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4" w:name="z1597"/>
      <w:bookmarkEnd w:id="2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статье 533 Таможенного кодекса выдается на бумажном носителе.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5" w:name="z1598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услугодатель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okno</w:t>
      </w:r>
      <w:r w:rsidRPr="00B977F4">
        <w:rPr>
          <w:color w:val="000000"/>
          <w:sz w:val="28"/>
          <w:lang w:val="ru-RU"/>
        </w:rPr>
        <w:t>@</w:t>
      </w:r>
      <w:r>
        <w:rPr>
          <w:color w:val="000000"/>
          <w:sz w:val="28"/>
        </w:rPr>
        <w:t>mgd</w:t>
      </w:r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услугополучателя, описанию последовательности действий, 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</w:t>
      </w:r>
      <w:proofErr w:type="gramStart"/>
      <w:r w:rsidRPr="00B977F4">
        <w:rPr>
          <w:color w:val="000000"/>
          <w:sz w:val="28"/>
          <w:lang w:val="ru-RU"/>
        </w:rPr>
        <w:t>поясняющие</w:t>
      </w:r>
      <w:proofErr w:type="gramEnd"/>
      <w:r w:rsidRPr="00B977F4">
        <w:rPr>
          <w:color w:val="000000"/>
          <w:sz w:val="28"/>
          <w:lang w:val="ru-RU"/>
        </w:rPr>
        <w:t xml:space="preserve"> возникшую проблему.</w:t>
      </w:r>
    </w:p>
    <w:p w:rsidR="003F26AA" w:rsidRPr="00B977F4" w:rsidRDefault="003F26AA" w:rsidP="003F26AA">
      <w:pPr>
        <w:spacing w:after="0"/>
        <w:rPr>
          <w:lang w:val="ru-RU"/>
        </w:rPr>
      </w:pPr>
      <w:bookmarkStart w:id="26" w:name="z1599"/>
      <w:bookmarkEnd w:id="25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7" w:name="z1600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услугополучателем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8" w:name="z1601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29" w:name="z1602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30" w:name="z1603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31" w:name="z1604"/>
      <w:bookmarkEnd w:id="3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32" w:name="z1605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33" w:name="z1606"/>
      <w:bookmarkEnd w:id="32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>В случаях несогласия с результатами оказания государственной услуги услугополучатель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2"/>
        <w:gridCol w:w="1677"/>
        <w:gridCol w:w="3799"/>
        <w:gridCol w:w="3511"/>
        <w:gridCol w:w="56"/>
      </w:tblGrid>
      <w:tr w:rsidR="003F26AA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уполномоченных экономических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операторов"</w:t>
            </w:r>
          </w:p>
        </w:tc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"Включение в реестр уполномоченных экономических операторов"</w:t>
            </w:r>
          </w:p>
        </w:tc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Комитет государственных доходов Министерства финансов Республики Казахстан</w:t>
            </w:r>
          </w:p>
        </w:tc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1608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34"/>
      </w:tr>
      <w:tr w:rsidR="003F26A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оказания государственной услуги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1609"/>
            <w:proofErr w:type="gramStart"/>
            <w:r w:rsidRPr="00B977F4">
              <w:rPr>
                <w:color w:val="000000"/>
                <w:sz w:val="20"/>
                <w:lang w:val="ru-RU"/>
              </w:rPr>
              <w:t>1) принятие решение о включении либо об отказе во включении в реестр уполномоченных экономических операторов – 90 (девяносто) календарных дней;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принятие решение о рассмотрении заявления либо об отказе в его рассмотрении – в течение 5 (пяти) рабочих дней со дня регистрации заявленияуслугодателем;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максимально допустимое время ожидания для сдачи пакета документов услугополучателем услугодателю – 20 (двадцать) минут;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максимально допустимое время обслуживания услугополучателя услугодателем – 20 (двадцать) минут.</w:t>
            </w:r>
          </w:p>
        </w:tc>
        <w:bookmarkEnd w:id="35"/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3F26AA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bookmarkStart w:id="36" w:name="z1612"/>
            <w:r w:rsidRPr="00B977F4">
              <w:rPr>
                <w:color w:val="000000"/>
                <w:sz w:val="20"/>
                <w:lang w:val="ru-RU"/>
              </w:rPr>
              <w:t>1) выдача свидетельства о включении лица в реестр уполномоченных экономических операторов первого, второго или третьего типа;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бумажная.</w:t>
            </w:r>
          </w:p>
        </w:tc>
        <w:bookmarkEnd w:id="36"/>
      </w:tr>
      <w:tr w:rsidR="003F26AA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предоставляется бесплатно</w:t>
            </w:r>
          </w:p>
        </w:tc>
      </w:tr>
      <w:tr w:rsidR="003F26AA" w:rsidRPr="00B65A51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График работы 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1614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Адреса мест оказания государственной услуги размещены на интернет-ресурсе: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услугодателя</w:t>
            </w:r>
            <w:proofErr w:type="gramStart"/>
            <w:r>
              <w:rPr>
                <w:color w:val="000000"/>
                <w:sz w:val="20"/>
              </w:rPr>
              <w:t>www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kgd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7"/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1619"/>
            <w:r w:rsidRPr="00B977F4">
              <w:rPr>
                <w:color w:val="000000"/>
                <w:sz w:val="20"/>
                <w:lang w:val="ru-RU"/>
              </w:rPr>
              <w:t>к услугодателю: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согласно приложению 2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через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в форме электронного документа, подписанного ЭЦП.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 заявлению прилагаются документы, подтверждающие заявленные в нем сведения.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может не сопровождаться представлением услугодателю документов, если сведения о таких документах и (или) сведения из них могут быть получены услугодателем из информационных систем, используемых услугодателем, а также из информационных систем государственных органов (организаций) государств – членов Евразийского экономического союза в рамках информационного взаимодействия.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Услугодатель в течение пяти рабочих дней со дня регистрации заявления принимает решение о рассмотрении заявления либо об отказе в его рассмотрении.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По результатам рассмотрения заявления о включении в реестр уполномоченных экономических операторов с выдачей свидетельства первого или второго типа, если условием включения в такой реестр является обеспечение исполнения обязанностей уполномоченного экономического оператора, услугодатель уведомляет услугополучателя о соблюдении условий, установленных подпунктами 1), 3), 4), 5), 6), 7) и 8) пункта 1 или подпунктами 1), 3) и 4) пункта 3 статьи 532 Кодекса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Республики Казахстан "О таможенном регулировании в Республике Казахстан" (далее – Кодекс), и о необходимости предоставление обеспечения исполнения обязанностей уполномоченного экономического оператора.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Документы, подтверждающие предоставление обеспечения исполнения обязанностей уполномоченного экономического оператора, представляются не позднее двух месяцев со дня направления услугополучателем уведомления.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этом на период со дня направления услугодателем уведомления до дня представления документов, подтверждающих предоставление обеспечения исполнения обязанностей уполномоченного экономического оператора, срок рассмотрения заявления приостанавливается.</w:t>
            </w:r>
          </w:p>
        </w:tc>
        <w:bookmarkEnd w:id="38"/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1628"/>
            <w:r w:rsidRPr="00B977F4">
              <w:rPr>
                <w:color w:val="000000"/>
                <w:sz w:val="20"/>
                <w:lang w:val="ru-RU"/>
              </w:rPr>
              <w:t>1) заявление заполнено не в соответствии с установленной формой либо структура и формат заявления в виде электронного документа не соответствуют установленным структуре и формату такого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в заявлении не указаны сведения, подлежащие указанию в заявлении;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3) заявление подано до истечения одного года со дня исключения юридического лица из реестра уполномоченных экономических операторов по основаниям, предусмотренным подпунктами 4), 5), 6) и 7) пункта 7 статьи 534 Кодекса;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4) несоблюдение условий, установленных статьей 532 Кодекса.</w:t>
            </w:r>
          </w:p>
        </w:tc>
        <w:bookmarkEnd w:id="39"/>
      </w:tr>
      <w:tr w:rsidR="003F26AA" w:rsidRPr="002E1BBF" w:rsidTr="00F8133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2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1631"/>
            <w:r w:rsidRPr="00B977F4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контакт-центра1414, 8 800 080 777.</w:t>
            </w:r>
          </w:p>
        </w:tc>
        <w:bookmarkEnd w:id="40"/>
      </w:tr>
      <w:tr w:rsidR="003F26AA" w:rsidRPr="002E1BBF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уполномоченных экономических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операторов"</w:t>
            </w:r>
          </w:p>
        </w:tc>
      </w:tr>
      <w:tr w:rsidR="003F26AA" w:rsidRPr="00B65A51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Решением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Коллегии Евразийской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экономической комиссии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26 сентября 2017 г. № 128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41" w:name="z1635"/>
      <w:r w:rsidRPr="00B977F4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Заявление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о включении в реестр уполномоченных экономических операторов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_______________________________________________________________________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(полное и краткое (при наличии) наименования юридического лица)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_______________________________________________________________________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(УНН (для Республики Армения), УНП (для Республики Беларусь),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БИН (для Республики Казахстан), ИНН (для Кыргызской республики),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ИНН/КПП (Российской Федерации))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2" w:name="z1636"/>
      <w:bookmarkEnd w:id="4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просит включить в реестр уполномоченных экономических операторов (далее – реестр) с выдачей свидетельства (свидетельств)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81"/>
        <w:gridCol w:w="477"/>
        <w:gridCol w:w="477"/>
        <w:gridCol w:w="1179"/>
        <w:gridCol w:w="478"/>
        <w:gridCol w:w="479"/>
        <w:gridCol w:w="2362"/>
        <w:gridCol w:w="479"/>
        <w:gridCol w:w="479"/>
        <w:gridCol w:w="1200"/>
        <w:gridCol w:w="479"/>
      </w:tblGrid>
      <w:tr w:rsidR="003F26AA" w:rsidTr="00F81333">
        <w:trPr>
          <w:trHeight w:val="30"/>
          <w:tblCellSpacing w:w="0" w:type="auto"/>
        </w:trPr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первого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второго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1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первого и второго</w:t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6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третьего</w:t>
            </w:r>
          </w:p>
        </w:tc>
        <w:tc>
          <w:tcPr>
            <w:tcW w:w="7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</w:tbl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3" w:name="z163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типа (типов) и заявляет сведения, подтверждающие выполнение условий, установленных статьей 433 Таможенного кодекса Евразийского экономического союза (далее - Кодекс).</w:t>
      </w:r>
    </w:p>
    <w:p w:rsidR="003F26AA" w:rsidRDefault="003F26AA" w:rsidP="003F26AA">
      <w:pPr>
        <w:spacing w:after="0"/>
      </w:pPr>
      <w:bookmarkStart w:id="44" w:name="z1638"/>
      <w:bookmarkEnd w:id="43"/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I. Общие сведения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6"/>
        <w:gridCol w:w="661"/>
        <w:gridCol w:w="225"/>
        <w:gridCol w:w="225"/>
        <w:gridCol w:w="5328"/>
        <w:gridCol w:w="1102"/>
        <w:gridCol w:w="1373"/>
      </w:tblGrid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включения в реестр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Значение или отметка о соблюдении условия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Минимальное значение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Осуществление внешнеэкономической деятельности,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Осуществление деятельности в сфере таможенного дела в качестве: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таможенного представителя,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владельца склада временного хранения,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владельца таможенного склада,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таможенного перевозчика,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которых: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осуществлении внешнеэкономической деятельности, за исключением деятельности по оказанию услуг по перевозке товаров, за каждый год подано деклараций на товары,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10*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суммарная стоимость перемещенных через таможенную границу Евразийского экономического союза товаров за каждый год составляет величину, эквивалентную сумме в евро**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 w:rsidRPr="00B977F4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500 000*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осуществлении внешнеэкономической деятельности по оказанию услуг по перевозке товаров за каждый год подано транзитных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осуществлении деятельности в сфере таможенного дела в качестве таможенного представителя за каждый год подано таможенных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суммарная стоимость товаров, заявленная в поданных таможенных декларациях, за каждый год составляет величину, эквивалентную сумме в евро**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500 000*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осуществлении деятельности в сфере таможенного дела в качестве владельцев складов временного хранения, таможенных складов осуществлено хранение товаров, суммарная стоимость которых за каждый год составляет величину, эквивалентную сумме в евро**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500 000*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 осуществлении деятельности в сфере таможенного дела в качестве таможенного перевозчика за каждый год подано транзитных деклараций, штук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Исполнение обязанности уполномоченного экономического оператора планируется обеспечить следующими способами (заполняется, если условие о представлении обеспечения является обязательным для включения в реестр)***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внесение денежных средств (денег)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значение, установленное статьей 436 Кодекса</w:t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банковская гарантия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поручительство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залог имущества на сумму, эквивалентную сумме в евро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2.5.1</w:t>
            </w:r>
          </w:p>
        </w:tc>
        <w:tc>
          <w:tcPr>
            <w:tcW w:w="4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639"/>
            <w:r w:rsidRPr="00B977F4">
              <w:rPr>
                <w:color w:val="000000"/>
                <w:sz w:val="20"/>
                <w:lang w:val="ru-RU"/>
              </w:rPr>
              <w:t>обеспечение исполнения обязанности иным способом (указать):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сумму, эквивалентную сумме в евро</w:t>
            </w:r>
          </w:p>
        </w:tc>
        <w:bookmarkEnd w:id="45"/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2.5.2</w:t>
            </w:r>
          </w:p>
        </w:tc>
        <w:tc>
          <w:tcPr>
            <w:tcW w:w="4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1640"/>
            <w:r w:rsidRPr="00B977F4">
              <w:rPr>
                <w:color w:val="000000"/>
                <w:sz w:val="20"/>
                <w:lang w:val="ru-RU"/>
              </w:rPr>
              <w:t>обеспечение исполнения обязанности иным способом (указать):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сумму, эквивалентную сумме в евро</w:t>
            </w:r>
          </w:p>
        </w:tc>
        <w:bookmarkEnd w:id="46"/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Не исполненная в установленный срок обязанность по уплате таможенных платежей, специальных, антидемпинговых, компенсационных пошлин, пеней, процентов во всех государствах - членах Евразийского экономического союза (далее - государства-члены)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Задолженность (недоимка) в соответствии с законодательством о налогах и сборах (налоговым законодательством) государства-члена, в котором зарегистрирован заявитель,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Факты привлечения во всех государствах-членах заявителя в течение 1 года к административной ответственности за административные правонарушения, привлечение к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ответственности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Факты привлечения во всех государствах-членах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бухгалтерами, к уголовной ответственности за преступления или уголовные правонарушения, производство по которым отнесено к ведению таможенных и иных государственных органов, привлечение к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ответственности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за совершение которых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Система учета товаров заявителя отвечает установленным законодательством государств-членов о таможенном регулировании требованиям, позволяет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обеспечивает доступ (в том числе удаленный) таможенных органов к таким сведениям</w:t>
            </w:r>
            <w:proofErr w:type="gramEnd"/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Совокупный показатель финансовой устойчивости заявителя, рассчитанный в соответствии с порядком определения финансовой устойчивости юридического лица, претендующего на включение в реестр, и значений, характеризующих финансовую устойчивость и необходимых для включения в этот реестр, предусмотренным пунктом 7 статьи 433 Кодекса, баллов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3F26AA" w:rsidRPr="00B65A51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Сооружения, помещения (части помещений) и (или) открытые площадки (части открытых площадок), предназначенные для временного хранения товаров, находятся у заявителя:</w:t>
            </w:r>
            <w:proofErr w:type="gramEnd"/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собственности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хозяйственном ведении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оперативном управлении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в аренде по договору на срок не менее 1 года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Требования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действия таможенной процедуры таможенного транзита и (или) проводиться таможенный контроль, к транспортным средствам и работникам заявителя, предусмотренные подпунктом 4 пункта 3 статьи 433 Кодекса, соблюдаются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6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Заявитель включен в реестр (период включения на момент подачи заявления):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 выдачей свидетельства первого типа,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Default="003F26AA" w:rsidP="00F81333"/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 выдачей свидетельства второго типа,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11.3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 выдачей свидетельства в соответствии с Таможенным кодексом Таможенного союза, лет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F26AA" w:rsidRPr="00B977F4" w:rsidRDefault="003F26AA" w:rsidP="00F81333">
            <w:pPr>
              <w:rPr>
                <w:lang w:val="ru-RU"/>
              </w:rPr>
            </w:pPr>
          </w:p>
        </w:tc>
        <w:tc>
          <w:tcPr>
            <w:tcW w:w="1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 выдачей свидетельства второго или третьего типа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6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Факт исключения из реестра в течение 1 года до даты подачи заявления отсутствует</w:t>
            </w:r>
          </w:p>
        </w:tc>
        <w:tc>
          <w:tcPr>
            <w:tcW w:w="7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</w:tbl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7" w:name="z164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 Законодательством о таможенном регулировании государства-члена, таможенному органу которого подается заявление, может быть установлено иное минимальное значение в соответствии со статьей 433 Кодекса.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8" w:name="z1642"/>
      <w:bookmarkEnd w:id="4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** Рассчитывается по курсу валют, установленному центральным (национальным) банком государства-члена, действующему на день подачи заявления.</w:t>
      </w:r>
    </w:p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49" w:name="z1643"/>
      <w:bookmarkEnd w:id="4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*** Если законодательством государств-членов о таможенном регулировании установлено, что исполнение обязанностей уполномоченного экономического оператора обеспечивается определенным способом (способами) в соответствии с пунктом 6 статьи 436 Кодекса, выбор способа обеспечения осуществляется только из способов, установленных законодательством этого государства-члена.</w:t>
      </w:r>
    </w:p>
    <w:p w:rsidR="003F26AA" w:rsidRPr="00B977F4" w:rsidRDefault="003F26AA" w:rsidP="003F26AA">
      <w:pPr>
        <w:spacing w:after="0"/>
        <w:rPr>
          <w:lang w:val="ru-RU"/>
        </w:rPr>
      </w:pPr>
      <w:bookmarkStart w:id="50" w:name="z1644"/>
      <w:bookmarkEnd w:id="49"/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II</w:t>
      </w:r>
      <w:r w:rsidRPr="00B977F4">
        <w:rPr>
          <w:b/>
          <w:color w:val="000000"/>
          <w:lang w:val="ru-RU"/>
        </w:rPr>
        <w:t>. Сведения о физических лицах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8"/>
        <w:gridCol w:w="2850"/>
        <w:gridCol w:w="2257"/>
        <w:gridCol w:w="2506"/>
        <w:gridCol w:w="1109"/>
      </w:tblGrid>
      <w:tr w:rsidR="003F26AA" w:rsidTr="00F81333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Фамилия, имя, отчество (при наличии) (в соответствии с документом, удостоверяющим личность)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Дата и место рождения (в соответствии с документом, удостоверяющим личность)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Отношение к заявителю (акционер, учредитель (участник), руководитель, главный бухгалтер)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7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7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51" w:name="z1645"/>
      <w:r w:rsidRPr="00B977F4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III</w:t>
      </w:r>
      <w:r w:rsidRPr="00B977F4">
        <w:rPr>
          <w:b/>
          <w:color w:val="000000"/>
          <w:lang w:val="ru-RU"/>
        </w:rPr>
        <w:t>. Сведения о значениях показателей финансовой устойчивости и совокупного показателя финансовой устойчивости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70"/>
        <w:gridCol w:w="1721"/>
        <w:gridCol w:w="2147"/>
        <w:gridCol w:w="1633"/>
        <w:gridCol w:w="1272"/>
        <w:gridCol w:w="1627"/>
      </w:tblGrid>
      <w:tr w:rsidR="003F26AA" w:rsidRPr="002E1BBF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Среднее значение показателя за 3 года (расчетное)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Критерий показателя (минималь ный)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Значимость показателя в балльной системе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Фактическая значимость показателя (в баллах)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чистых активов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уставного капитала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Остаточная стоимость основных средств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автономии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общей (текущей) ликвидности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Рентабельность собственного капитала, процентов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финансовой устойчивости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Коэффициент обеспеченности текущей деятельности собственными оборотными активами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маневренности собственного капитала</w:t>
            </w:r>
          </w:p>
        </w:tc>
        <w:tc>
          <w:tcPr>
            <w:tcW w:w="3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  <w:tc>
          <w:tcPr>
            <w:tcW w:w="14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RPr="002E1BBF" w:rsidTr="00F81333">
        <w:trPr>
          <w:trHeight w:val="30"/>
          <w:tblCellSpacing w:w="0" w:type="auto"/>
        </w:trPr>
        <w:tc>
          <w:tcPr>
            <w:tcW w:w="1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Совокупный показатель юридического лица, претендующего на включение в реестр (минимум 50 баллов)</w:t>
            </w:r>
          </w:p>
        </w:tc>
        <w:tc>
          <w:tcPr>
            <w:tcW w:w="2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52" w:name="z1646"/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IV</w:t>
      </w:r>
      <w:r w:rsidRPr="00B977F4">
        <w:rPr>
          <w:b/>
          <w:color w:val="000000"/>
          <w:lang w:val="ru-RU"/>
        </w:rPr>
        <w:t>. Сведения о сооружениях, помещениях (частях помещений) и (или) открытых площадках (частях открытых площадок), предназначенных для временного хранения товаров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9"/>
        <w:gridCol w:w="1573"/>
        <w:gridCol w:w="4543"/>
        <w:gridCol w:w="2205"/>
      </w:tblGrid>
      <w:tr w:rsidR="003F26AA" w:rsidRPr="002E1BBF" w:rsidTr="00F81333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местонахождения объекта</w:t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Номер и дата документа, подтверждающего нахождение в собственности, хозяйственном ведении, оперативном управлении или аренде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Срок действия документа (договора аренды)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65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53" w:name="z1647"/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V</w:t>
      </w:r>
      <w:r w:rsidRPr="00B977F4">
        <w:rPr>
          <w:b/>
          <w:color w:val="000000"/>
          <w:lang w:val="ru-RU"/>
        </w:rPr>
        <w:t>. Сведения об обособленных подразделениях и (или) филиалах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7"/>
        <w:gridCol w:w="4087"/>
        <w:gridCol w:w="4396"/>
      </w:tblGrid>
      <w:tr w:rsidR="003F26AA" w:rsidRPr="002E1BBF" w:rsidTr="00F8133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Наименование обособленного подразделения и (или) филиала (полное и краткое – при наличии)</w:t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Номер обособленного подразделения и (или) филиала, присвоенный налоговым органом (органом государственных доходов) государства-члена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F81333">
        <w:trPr>
          <w:trHeight w:val="30"/>
          <w:tblCellSpacing w:w="0" w:type="auto"/>
        </w:trPr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5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</w:tbl>
    <w:p w:rsidR="003F26AA" w:rsidRPr="00B977F4" w:rsidRDefault="003F26AA" w:rsidP="003F26AA">
      <w:pPr>
        <w:spacing w:after="0"/>
        <w:rPr>
          <w:lang w:val="ru-RU"/>
        </w:rPr>
      </w:pPr>
      <w:bookmarkStart w:id="54" w:name="z1648"/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VI</w:t>
      </w:r>
      <w:r w:rsidRPr="00B977F4">
        <w:rPr>
          <w:b/>
          <w:color w:val="000000"/>
          <w:lang w:val="ru-RU"/>
        </w:rPr>
        <w:t>. Документы, подтверждающие сведения, указанные в настоящем заявлении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19"/>
        <w:gridCol w:w="3392"/>
        <w:gridCol w:w="2920"/>
      </w:tblGrid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Наименования документов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листов</w:t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Копии учредительных документов юридического лица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государства-члена, в котором зарегистрирован заявитель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Документы (копии документов), подтверждающие расчет значений показателей финансовой устойчивости и совокупного показателя финансовой устойчивости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Документы, подтверждающие наличие у заявителя 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обеспечивающей доступ (в том числе удаленный) таможенных органов к таким сведениям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RPr="002E1BBF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Pr="00B977F4" w:rsidRDefault="003F26AA" w:rsidP="00F81333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документы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______________________</w:t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(должность руководителя заявителя)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(подпись заявителя)</w:t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(Ф. И. О. заявителя)</w:t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  <w:tr w:rsidR="003F26AA" w:rsidTr="003F26AA">
        <w:trPr>
          <w:trHeight w:val="30"/>
          <w:tblCellSpacing w:w="0" w:type="auto"/>
        </w:trPr>
        <w:tc>
          <w:tcPr>
            <w:tcW w:w="2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"__" _________ 20__ г.</w:t>
            </w:r>
          </w:p>
        </w:tc>
        <w:tc>
          <w:tcPr>
            <w:tcW w:w="3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  <w:tc>
          <w:tcPr>
            <w:tcW w:w="2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26AA" w:rsidRDefault="003F26AA" w:rsidP="00F81333">
            <w:pPr>
              <w:spacing w:after="0"/>
              <w:jc w:val="both"/>
            </w:pPr>
            <w:r>
              <w:br/>
            </w:r>
          </w:p>
        </w:tc>
      </w:tr>
    </w:tbl>
    <w:p w:rsidR="003F26AA" w:rsidRPr="00B977F4" w:rsidRDefault="003F26AA" w:rsidP="003F26AA">
      <w:pPr>
        <w:spacing w:after="0"/>
        <w:jc w:val="both"/>
        <w:rPr>
          <w:lang w:val="ru-RU"/>
        </w:rPr>
      </w:pPr>
      <w:bookmarkStart w:id="55" w:name="z1714"/>
      <w:bookmarkEnd w:id="55"/>
    </w:p>
    <w:sectPr w:rsidR="003F26AA" w:rsidRPr="00B9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AA"/>
    <w:rsid w:val="003F26AA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F26A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F26A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F26A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F26A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F26AA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3F26AA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F26AA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F26AA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3F2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F26A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F26AA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3F2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F26AA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3F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F26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3F26A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AA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F26AA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F26AA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F26AA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F26AA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3F26AA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3"/>
    <w:uiPriority w:val="99"/>
    <w:unhideWhenUsed/>
    <w:rsid w:val="003F26AA"/>
    <w:pPr>
      <w:tabs>
        <w:tab w:val="center" w:pos="4680"/>
        <w:tab w:val="right" w:pos="9360"/>
      </w:tabs>
    </w:pPr>
  </w:style>
  <w:style w:type="character" w:customStyle="1" w:styleId="11">
    <w:name w:val="Верхний колонтитул Знак1"/>
    <w:basedOn w:val="a0"/>
    <w:uiPriority w:val="99"/>
    <w:semiHidden/>
    <w:rsid w:val="003F26AA"/>
    <w:rPr>
      <w:rFonts w:ascii="Times New Roman" w:eastAsia="Times New Roman" w:hAnsi="Times New Roman" w:cs="Times New Roman"/>
      <w:lang w:val="en-US"/>
    </w:rPr>
  </w:style>
  <w:style w:type="character" w:customStyle="1" w:styleId="a5">
    <w:name w:val="Подзаголовок Знак"/>
    <w:basedOn w:val="a0"/>
    <w:link w:val="a6"/>
    <w:uiPriority w:val="11"/>
    <w:rsid w:val="003F26AA"/>
    <w:rPr>
      <w:rFonts w:ascii="Times New Roman" w:eastAsia="Times New Roman" w:hAnsi="Times New Roman" w:cs="Times New Roman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3F26AA"/>
    <w:pPr>
      <w:numPr>
        <w:ilvl w:val="1"/>
      </w:numPr>
      <w:ind w:left="86"/>
    </w:pPr>
  </w:style>
  <w:style w:type="character" w:customStyle="1" w:styleId="12">
    <w:name w:val="Подзаголовок Знак1"/>
    <w:basedOn w:val="a0"/>
    <w:uiPriority w:val="11"/>
    <w:rsid w:val="003F2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Название Знак"/>
    <w:basedOn w:val="a0"/>
    <w:link w:val="a8"/>
    <w:uiPriority w:val="10"/>
    <w:rsid w:val="003F26AA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7"/>
    <w:uiPriority w:val="10"/>
    <w:qFormat/>
    <w:rsid w:val="003F26AA"/>
    <w:pPr>
      <w:pBdr>
        <w:bottom w:val="single" w:sz="8" w:space="4" w:color="4F81BD"/>
      </w:pBdr>
      <w:spacing w:after="300"/>
      <w:contextualSpacing/>
    </w:pPr>
  </w:style>
  <w:style w:type="character" w:customStyle="1" w:styleId="13">
    <w:name w:val="Название Знак1"/>
    <w:basedOn w:val="a0"/>
    <w:uiPriority w:val="10"/>
    <w:rsid w:val="003F2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3F26AA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Balloon Text"/>
    <w:basedOn w:val="a"/>
    <w:link w:val="a9"/>
    <w:uiPriority w:val="99"/>
    <w:semiHidden/>
    <w:unhideWhenUsed/>
    <w:rsid w:val="003F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F26AA"/>
    <w:rPr>
      <w:rFonts w:ascii="Tahoma" w:eastAsia="Times New Roman" w:hAnsi="Tahoma" w:cs="Tahoma"/>
      <w:sz w:val="16"/>
      <w:szCs w:val="16"/>
      <w:lang w:val="en-US"/>
    </w:rPr>
  </w:style>
  <w:style w:type="paragraph" w:customStyle="1" w:styleId="disclaimer">
    <w:name w:val="disclaimer"/>
    <w:basedOn w:val="a"/>
    <w:rsid w:val="003F26AA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2021-09-16T05:02:00Z</dcterms:created>
  <dcterms:modified xsi:type="dcterms:W3CDTF">2021-09-16T05:06:00Z</dcterms:modified>
</cp:coreProperties>
</file>